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D5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8BD">
        <w:rPr>
          <w:rFonts w:ascii="Times New Roman" w:hAnsi="Times New Roman" w:cs="Times New Roman"/>
          <w:b/>
          <w:sz w:val="24"/>
          <w:szCs w:val="24"/>
        </w:rPr>
        <w:t>Funding Approaches for long-Term Property Management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8BD">
        <w:rPr>
          <w:rFonts w:ascii="Times New Roman" w:hAnsi="Times New Roman" w:cs="Times New Roman"/>
          <w:b/>
          <w:sz w:val="24"/>
          <w:szCs w:val="24"/>
        </w:rPr>
        <w:t xml:space="preserve">Notes from Tim </w:t>
      </w:r>
      <w:proofErr w:type="spellStart"/>
      <w:r w:rsidRPr="008C48BD">
        <w:rPr>
          <w:rFonts w:ascii="Times New Roman" w:hAnsi="Times New Roman" w:cs="Times New Roman"/>
          <w:b/>
          <w:sz w:val="24"/>
          <w:szCs w:val="24"/>
        </w:rPr>
        <w:t>Dicintio</w:t>
      </w:r>
      <w:proofErr w:type="spellEnd"/>
      <w:r w:rsidRPr="008C48BD">
        <w:rPr>
          <w:rFonts w:ascii="Times New Roman" w:hAnsi="Times New Roman" w:cs="Times New Roman"/>
          <w:b/>
          <w:sz w:val="24"/>
          <w:szCs w:val="24"/>
        </w:rPr>
        <w:t xml:space="preserve">, National Fish and Wildlife Foundation </w:t>
      </w: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Primary Objective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A discussion of the issues around 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>funding</w:t>
      </w:r>
      <w:r w:rsidRPr="008C48BD">
        <w:rPr>
          <w:rFonts w:ascii="Times New Roman" w:hAnsi="Times New Roman" w:cs="Times New Roman"/>
          <w:bCs/>
          <w:sz w:val="24"/>
          <w:szCs w:val="24"/>
        </w:rPr>
        <w:t xml:space="preserve"> for long-term (or perpetual) property management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Management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plan → specific tasks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Specific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tasks → itemized costs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Itemized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costs → up-front funding need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Key Issues   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Why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up-front planning and modeling are important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Options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for legal structure of funding mechanism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How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to size the initial amount of the fund: </w:t>
      </w: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ab/>
        <w:t xml:space="preserve">       Cap Rate, investing, and spending</w:t>
      </w:r>
    </w:p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8BD">
        <w:rPr>
          <w:rFonts w:ascii="Times New Roman" w:hAnsi="Times New Roman" w:cs="Times New Roman"/>
          <w:sz w:val="24"/>
          <w:szCs w:val="24"/>
        </w:rPr>
        <w:t>■  Ongoing</w:t>
      </w:r>
      <w:proofErr w:type="gramEnd"/>
      <w:r w:rsidRPr="008C48BD">
        <w:rPr>
          <w:rFonts w:ascii="Times New Roman" w:hAnsi="Times New Roman" w:cs="Times New Roman"/>
          <w:sz w:val="24"/>
          <w:szCs w:val="24"/>
        </w:rPr>
        <w:t xml:space="preserve"> operational rules of the fund</w:t>
      </w:r>
    </w:p>
    <w:p w:rsid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Importance of Up-Front Planning and Modeling</w:t>
      </w:r>
    </w:p>
    <w:p w:rsidR="00E75E08" w:rsidRPr="008C48BD" w:rsidRDefault="008C48BD" w:rsidP="00074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Whatever long-term funding approach is selected, it will be expected to “perform” for an indefinite period of time, perhaps in perpetuity. </w:t>
      </w:r>
    </w:p>
    <w:p w:rsidR="00E75E08" w:rsidRPr="008C48BD" w:rsidRDefault="008C48BD" w:rsidP="00074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Legal or regulatory options for returning to the </w:t>
      </w:r>
      <w:proofErr w:type="spellStart"/>
      <w:r w:rsidRPr="008C48BD">
        <w:rPr>
          <w:rFonts w:ascii="Times New Roman" w:hAnsi="Times New Roman" w:cs="Times New Roman"/>
          <w:bCs/>
          <w:sz w:val="24"/>
          <w:szCs w:val="24"/>
        </w:rPr>
        <w:t>payor</w:t>
      </w:r>
      <w:proofErr w:type="spellEnd"/>
      <w:r w:rsidRPr="008C48BD">
        <w:rPr>
          <w:rFonts w:ascii="Times New Roman" w:hAnsi="Times New Roman" w:cs="Times New Roman"/>
          <w:bCs/>
          <w:sz w:val="24"/>
          <w:szCs w:val="24"/>
        </w:rPr>
        <w:t xml:space="preserve"> for additional funds – if a long-term mechanism turns out to be insufficient – are likely limited.</w:t>
      </w:r>
    </w:p>
    <w:p w:rsidR="00E75E08" w:rsidRPr="008C48BD" w:rsidRDefault="008C48BD" w:rsidP="00074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average lifespan of U.S. companies is estimated in the range of 10-25 years, suggesting that the up-front mechanism is likely to be the only resource as a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practical matter.</w:t>
      </w:r>
    </w:p>
    <w:p w:rsidR="00E75E08" w:rsidRPr="008C48BD" w:rsidRDefault="008C48BD" w:rsidP="00074C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bottom line:  invest time at the outset to ensure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the selected approach is appropriately funded</w:t>
      </w:r>
      <w:proofErr w:type="gramStart"/>
      <w:r w:rsidRPr="008C48B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8C48BD">
        <w:rPr>
          <w:rFonts w:ascii="Times New Roman" w:hAnsi="Times New Roman" w:cs="Times New Roman"/>
          <w:bCs/>
          <w:sz w:val="24"/>
          <w:szCs w:val="24"/>
        </w:rPr>
        <w:br/>
        <w:t>secure, and likely to endure over the long term.</w:t>
      </w:r>
    </w:p>
    <w:p w:rsidR="008C48BD" w:rsidRDefault="008C48BD" w:rsidP="008C4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8C4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Legal Structures of Funding Mechanisms</w:t>
      </w:r>
    </w:p>
    <w:p w:rsidR="00E75E08" w:rsidRPr="008C48BD" w:rsidRDefault="008C48BD" w:rsidP="00074C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Most entail the deposit of funds into an account dedicated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to paying the costs of long-term management. </w:t>
      </w:r>
    </w:p>
    <w:p w:rsidR="00E75E08" w:rsidRPr="008C48BD" w:rsidRDefault="008C48BD" w:rsidP="00074C3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Trust Accounts</w:t>
      </w:r>
    </w:p>
    <w:p w:rsidR="00E75E08" w:rsidRPr="008C48BD" w:rsidRDefault="008C48BD" w:rsidP="00074C3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Escrow Accounts</w:t>
      </w:r>
    </w:p>
    <w:p w:rsidR="00E75E08" w:rsidRPr="008C48BD" w:rsidRDefault="008C48BD" w:rsidP="00074C3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“Endowments”</w:t>
      </w:r>
    </w:p>
    <w:p w:rsidR="00E75E08" w:rsidRPr="008C48BD" w:rsidRDefault="008C48BD" w:rsidP="00074C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Key goals: </w:t>
      </w:r>
    </w:p>
    <w:p w:rsidR="00E75E08" w:rsidRPr="008C48BD" w:rsidRDefault="008C48BD" w:rsidP="00074C3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Ensure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C48BD">
        <w:rPr>
          <w:rFonts w:ascii="Times New Roman" w:hAnsi="Times New Roman" w:cs="Times New Roman"/>
          <w:bCs/>
          <w:sz w:val="24"/>
          <w:szCs w:val="24"/>
        </w:rPr>
        <w:t>the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C48BD">
        <w:rPr>
          <w:rFonts w:ascii="Times New Roman" w:hAnsi="Times New Roman" w:cs="Times New Roman"/>
          <w:bCs/>
          <w:sz w:val="24"/>
          <w:szCs w:val="24"/>
        </w:rPr>
        <w:t>funds are legally restricted to the purposes and property for which they were extracted, consistent with applicable law, regulation, and permitting documents</w:t>
      </w:r>
    </w:p>
    <w:p w:rsidR="00E75E08" w:rsidRPr="008C48BD" w:rsidRDefault="008C48BD" w:rsidP="00074C3A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Ensure the mechanism used to manage the funds is based on legal, financial, and operational principles that provide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the mechanism a strong statistical chance of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persisting indefinitely </w:t>
      </w:r>
    </w:p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Implications of Different Legal Structures</w:t>
      </w:r>
    </w:p>
    <w:p w:rsidR="00E75E08" w:rsidRPr="008C48BD" w:rsidRDefault="008C48BD" w:rsidP="00074C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Whatever structure is selected and approved for the long-term stewardship fund should be memorialized in appropriate documentation.</w:t>
      </w:r>
    </w:p>
    <w:p w:rsidR="00E75E08" w:rsidRPr="008C48BD" w:rsidRDefault="008C48BD" w:rsidP="00074C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Permitting agencies should consider the level of ongoing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oversight rights they need to retain to ensure the funds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are being managed and spent appropriately.</w:t>
      </w:r>
    </w:p>
    <w:p w:rsidR="00E75E08" w:rsidRPr="008C48BD" w:rsidRDefault="008C48BD" w:rsidP="00074C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Whether the funds are “being managed and spent appropriately” will likely be measured by reference to:</w:t>
      </w:r>
    </w:p>
    <w:p w:rsidR="00E75E08" w:rsidRPr="008C48BD" w:rsidRDefault="008C48BD" w:rsidP="00074C3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underlying laws pursuant to which the funds were extracted (e.g., ESA, CWA)</w:t>
      </w:r>
    </w:p>
    <w:p w:rsidR="00E75E08" w:rsidRPr="008C48BD" w:rsidRDefault="008C48BD" w:rsidP="00074C3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Accompanying regulations, policies, and guidance</w:t>
      </w:r>
    </w:p>
    <w:p w:rsidR="00E75E08" w:rsidRPr="008C48BD" w:rsidRDefault="008C48BD" w:rsidP="00074C3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terms of the permit(s) that required the funds</w:t>
      </w:r>
    </w:p>
    <w:p w:rsidR="00E75E08" w:rsidRPr="008C48BD" w:rsidRDefault="008C48BD" w:rsidP="00074C3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“Background” law, e.g., contract law, trust law, fiduciary law, etc.</w:t>
      </w:r>
    </w:p>
    <w:p w:rsidR="00E75E08" w:rsidRPr="008C48BD" w:rsidRDefault="008C48BD" w:rsidP="00074C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Remember: the 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legal and accounting </w:t>
      </w:r>
      <w:r w:rsidRPr="008C48BD">
        <w:rPr>
          <w:rFonts w:ascii="Times New Roman" w:hAnsi="Times New Roman" w:cs="Times New Roman"/>
          <w:bCs/>
          <w:sz w:val="24"/>
          <w:szCs w:val="24"/>
        </w:rPr>
        <w:t>treatment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of the funds matters! </w:t>
      </w:r>
    </w:p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Sizing the Initial Amount of the Fund</w:t>
      </w:r>
    </w:p>
    <w:p w:rsidR="00E75E08" w:rsidRPr="008C48BD" w:rsidRDefault="008C48BD" w:rsidP="00074C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Long-term management plans should include a description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of the annual work items and cost estimates for those items. </w:t>
      </w:r>
    </w:p>
    <w:p w:rsidR="00E75E08" w:rsidRPr="008C48BD" w:rsidRDefault="008C48BD" w:rsidP="00074C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This is often accomplished through different types of “property analyses.” </w:t>
      </w:r>
    </w:p>
    <w:p w:rsidR="00E75E08" w:rsidRPr="008C48BD" w:rsidRDefault="008C48BD" w:rsidP="00074C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accuracy of both the work items and the estimated costs presented in a property analysis is critical to the accuracy of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the up-front funding calculation.</w:t>
      </w:r>
    </w:p>
    <w:p w:rsidR="00E75E08" w:rsidRPr="008C48BD" w:rsidRDefault="008C48BD" w:rsidP="00074C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relationship of the annual cash need for management tasks to the initial amount of the fund is often expressed in terms of a “capitalization rate,” or Cap Rate.</w:t>
      </w:r>
    </w:p>
    <w:p w:rsidR="00E75E08" w:rsidRPr="008C48BD" w:rsidRDefault="008C48BD" w:rsidP="00074C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Specifically, the Cap Rate is the percentage of the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fund necessary to be drawn each year to meet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the annual cash need.</w:t>
      </w:r>
    </w:p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9" w:rsidRPr="008C48BD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Understanding the Cap Rate</w:t>
      </w:r>
      <w:proofErr w:type="gramStart"/>
      <w:r w:rsidRPr="008C48B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C48BD">
        <w:rPr>
          <w:rFonts w:ascii="Times New Roman" w:hAnsi="Times New Roman" w:cs="Times New Roman"/>
          <w:b/>
          <w:bCs/>
          <w:sz w:val="24"/>
          <w:szCs w:val="24"/>
        </w:rPr>
        <w:br/>
        <w:t>How the Cap Rate Drives the Initial Amount of the Fund</w:t>
      </w:r>
    </w:p>
    <w:p w:rsidR="00E75E08" w:rsidRPr="008C48BD" w:rsidRDefault="008C48BD" w:rsidP="00074C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As a formula: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</w:r>
      <w:r w:rsidRPr="008C48BD">
        <w:rPr>
          <w:rFonts w:ascii="Times New Roman" w:hAnsi="Times New Roman" w:cs="Times New Roman"/>
          <w:bCs/>
          <w:sz w:val="24"/>
          <w:szCs w:val="24"/>
        </w:rPr>
        <w:tab/>
        <w:t xml:space="preserve">Cap Rate x Initial Amount = Annual Cash Need </w:t>
      </w:r>
    </w:p>
    <w:p w:rsidR="00E75E08" w:rsidRPr="008C48BD" w:rsidRDefault="008C48BD" w:rsidP="00074C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To solve for the Endowment Amount, the formula is: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</w:r>
      <w:r w:rsidRPr="008C48BD">
        <w:rPr>
          <w:rFonts w:ascii="Times New Roman" w:hAnsi="Times New Roman" w:cs="Times New Roman"/>
          <w:bCs/>
          <w:sz w:val="24"/>
          <w:szCs w:val="24"/>
        </w:rPr>
        <w:tab/>
        <w:t xml:space="preserve"> Annual Cash Need ÷ Cap Rate = Initial Amount</w:t>
      </w:r>
    </w:p>
    <w:p w:rsidR="00E75E08" w:rsidRPr="008C48BD" w:rsidRDefault="008C48BD" w:rsidP="00074C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So by selecting a particular Cap Rate, the initial amount can be calculated from the annual land management costs necessary for the property at issue.  </w:t>
      </w:r>
    </w:p>
    <w:p w:rsidR="00E75E08" w:rsidRPr="008C48BD" w:rsidRDefault="008C48BD" w:rsidP="00074C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Example:  for a property requiring $20,000/ year for land management tasks, if a Cap Rate of 3.25% were applied, the calculation would be: 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</w:r>
      <w:r w:rsidRPr="008C48BD">
        <w:rPr>
          <w:rFonts w:ascii="Times New Roman" w:hAnsi="Times New Roman" w:cs="Times New Roman"/>
          <w:bCs/>
          <w:sz w:val="24"/>
          <w:szCs w:val="24"/>
        </w:rPr>
        <w:tab/>
        <w:t xml:space="preserve">$20,000 ÷ 0.0325 = $615,385   </w:t>
      </w:r>
    </w:p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Understanding the Cap Rate</w:t>
      </w:r>
      <w:proofErr w:type="gramStart"/>
      <w:r w:rsidRPr="008C48B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C48BD">
        <w:rPr>
          <w:rFonts w:ascii="Times New Roman" w:hAnsi="Times New Roman" w:cs="Times New Roman"/>
          <w:b/>
          <w:bCs/>
          <w:sz w:val="24"/>
          <w:szCs w:val="24"/>
        </w:rPr>
        <w:br/>
        <w:t>Consequences of Different Rates</w:t>
      </w: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5E08" w:rsidRPr="008C48BD" w:rsidRDefault="008C48BD" w:rsidP="00074C3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Inherent in the calculation is that the lower the Cap Rate</w:t>
      </w:r>
      <w:proofErr w:type="gramStart"/>
      <w:r w:rsidRPr="008C48B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the higher the necessary initial amount.  </w:t>
      </w:r>
    </w:p>
    <w:p w:rsidR="00E75E08" w:rsidRPr="008C48BD" w:rsidRDefault="008C48BD" w:rsidP="00074C3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Why does this matter?</w:t>
      </w:r>
    </w:p>
    <w:p w:rsidR="00E75E08" w:rsidRPr="008C48BD" w:rsidRDefault="008C48BD" w:rsidP="00074C3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Example:</w:t>
      </w:r>
    </w:p>
    <w:p w:rsidR="008C48BD" w:rsidRPr="008C48BD" w:rsidRDefault="008C48BD" w:rsidP="008C48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W w:w="7740" w:type="dxa"/>
        <w:tblLook w:val="0420" w:firstRow="1" w:lastRow="0" w:firstColumn="0" w:lastColumn="0" w:noHBand="0" w:noVBand="1"/>
      </w:tblPr>
      <w:tblGrid>
        <w:gridCol w:w="2847"/>
        <w:gridCol w:w="1564"/>
        <w:gridCol w:w="3329"/>
      </w:tblGrid>
      <w:tr w:rsidR="00193489" w:rsidRPr="008C48BD" w:rsidTr="00193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84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b w:val="0"/>
                <w:sz w:val="24"/>
                <w:szCs w:val="24"/>
              </w:rPr>
              <w:t>Annual Cash Need</w:t>
            </w:r>
          </w:p>
        </w:tc>
        <w:tc>
          <w:tcPr>
            <w:tcW w:w="156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b w:val="0"/>
                <w:sz w:val="24"/>
                <w:szCs w:val="24"/>
              </w:rPr>
              <w:t>Cap Rate</w:t>
            </w:r>
          </w:p>
        </w:tc>
        <w:tc>
          <w:tcPr>
            <w:tcW w:w="332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b w:val="0"/>
                <w:sz w:val="24"/>
                <w:szCs w:val="24"/>
              </w:rPr>
              <w:t>Initial Amount of Fund</w:t>
            </w:r>
          </w:p>
        </w:tc>
      </w:tr>
      <w:tr w:rsidR="00193489" w:rsidRPr="008C48BD" w:rsidTr="0019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84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$20,000</w:t>
            </w:r>
          </w:p>
        </w:tc>
        <w:tc>
          <w:tcPr>
            <w:tcW w:w="156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32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$285,714</w:t>
            </w:r>
          </w:p>
        </w:tc>
      </w:tr>
      <w:tr w:rsidR="00193489" w:rsidRPr="008C48BD" w:rsidTr="0019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</w:trPr>
        <w:tc>
          <w:tcPr>
            <w:tcW w:w="284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$20,000</w:t>
            </w:r>
          </w:p>
        </w:tc>
        <w:tc>
          <w:tcPr>
            <w:tcW w:w="156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32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$400,000</w:t>
            </w:r>
          </w:p>
        </w:tc>
      </w:tr>
      <w:tr w:rsidR="00193489" w:rsidRPr="008C48BD" w:rsidTr="0019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84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$20,000</w:t>
            </w:r>
          </w:p>
        </w:tc>
        <w:tc>
          <w:tcPr>
            <w:tcW w:w="156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332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$666,667</w:t>
            </w:r>
          </w:p>
        </w:tc>
      </w:tr>
      <w:tr w:rsidR="00193489" w:rsidRPr="008C48BD" w:rsidTr="0019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tcW w:w="284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$20,000</w:t>
            </w:r>
          </w:p>
        </w:tc>
        <w:tc>
          <w:tcPr>
            <w:tcW w:w="156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332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$2,000,000</w:t>
            </w:r>
          </w:p>
        </w:tc>
      </w:tr>
      <w:tr w:rsidR="00193489" w:rsidRPr="008C48BD" w:rsidTr="0019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84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$20,000</w:t>
            </w:r>
          </w:p>
        </w:tc>
        <w:tc>
          <w:tcPr>
            <w:tcW w:w="156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3320" w:type="dxa"/>
            <w:hideMark/>
          </w:tcPr>
          <w:p w:rsidR="00E75E08" w:rsidRPr="008C48BD" w:rsidRDefault="00193489" w:rsidP="0007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BD">
              <w:rPr>
                <w:rFonts w:ascii="Times New Roman" w:hAnsi="Times New Roman" w:cs="Times New Roman"/>
                <w:sz w:val="24"/>
                <w:szCs w:val="24"/>
              </w:rPr>
              <w:t>$4,000,000</w:t>
            </w:r>
          </w:p>
        </w:tc>
      </w:tr>
    </w:tbl>
    <w:p w:rsidR="00193489" w:rsidRDefault="00193489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Selecting the Cap Rate</w:t>
      </w:r>
      <w:proofErr w:type="gramStart"/>
      <w:r w:rsidRPr="008C48B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C48BD">
        <w:rPr>
          <w:rFonts w:ascii="Times New Roman" w:hAnsi="Times New Roman" w:cs="Times New Roman"/>
          <w:b/>
          <w:bCs/>
          <w:sz w:val="24"/>
          <w:szCs w:val="24"/>
        </w:rPr>
        <w:br/>
        <w:t>Relationship to Investment Strategy</w:t>
      </w:r>
    </w:p>
    <w:p w:rsidR="00E75E08" w:rsidRPr="008C48BD" w:rsidRDefault="008C48BD" w:rsidP="00074C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Cap Rate reflects the net amount of gain that the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portfolio must realize each year (on average) to meet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the cash requirement for management costs. </w:t>
      </w:r>
    </w:p>
    <w:p w:rsidR="00E75E08" w:rsidRPr="008C48BD" w:rsidRDefault="008C48BD" w:rsidP="00074C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“Net” in this sense is not only net of fees (investment manager and other administrative), but also net of inflation.</w:t>
      </w:r>
    </w:p>
    <w:p w:rsidR="00E75E08" w:rsidRPr="008C48BD" w:rsidRDefault="008C48BD" w:rsidP="00074C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Assuming administrative fees at 1% and inflation at 3.0%, the fund must be projected to return on average 4% annually 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>before</w:t>
      </w:r>
      <w:r w:rsidRPr="008C48BD">
        <w:rPr>
          <w:rFonts w:ascii="Times New Roman" w:hAnsi="Times New Roman" w:cs="Times New Roman"/>
          <w:bCs/>
          <w:sz w:val="24"/>
          <w:szCs w:val="24"/>
        </w:rPr>
        <w:t xml:space="preserve"> introduction of 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>any</w:t>
      </w:r>
      <w:r w:rsidRPr="008C48BD">
        <w:rPr>
          <w:rFonts w:ascii="Times New Roman" w:hAnsi="Times New Roman" w:cs="Times New Roman"/>
          <w:bCs/>
          <w:sz w:val="24"/>
          <w:szCs w:val="24"/>
        </w:rPr>
        <w:t xml:space="preserve"> Cap Rate.  </w:t>
      </w:r>
    </w:p>
    <w:p w:rsidR="00E75E08" w:rsidRPr="008C48BD" w:rsidRDefault="008C48BD" w:rsidP="00074C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For example, a Cap Rate of 3.25% would require average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“nominal” annual returns of 7.25% over time, and therefore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an investment strategy that is tailored appropriately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to this target.  </w:t>
      </w:r>
    </w:p>
    <w:p w:rsidR="00074C3A" w:rsidRDefault="00074C3A" w:rsidP="00074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The Cap Rate and Investment Strategies</w:t>
      </w:r>
    </w:p>
    <w:p w:rsidR="00E75E08" w:rsidRPr="008C48BD" w:rsidRDefault="008C48BD" w:rsidP="00074C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In approving banking instruments and other permitting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documents, agencies make implicit or explicit determinations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as to whether a particular Cap Rate is acceptable.</w:t>
      </w:r>
    </w:p>
    <w:p w:rsidR="00E75E08" w:rsidRPr="008C48BD" w:rsidRDefault="008C48BD" w:rsidP="00074C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Whatever Cap Rate is approved, agencies should ensure that it is supported by a suitable underlying investment strategy.  </w:t>
      </w:r>
    </w:p>
    <w:p w:rsidR="00E75E08" w:rsidRPr="008C48BD" w:rsidRDefault="008C48BD" w:rsidP="00074C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For example, Cap Rates in the range of 3-4% would require investment strategies expected to return, on average, 7-8% annually.</w:t>
      </w:r>
    </w:p>
    <w:p w:rsidR="00E75E08" w:rsidRPr="008C48BD" w:rsidRDefault="008C48BD" w:rsidP="00074C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lastRenderedPageBreak/>
        <w:t>In turn, target returns in the range of 7-8% (which align with the current return targets of many defined-benefit and endowment funds nationally) would necessitate diversified asset allocations within the corresponding investment portfolios.</w:t>
      </w:r>
    </w:p>
    <w:p w:rsidR="00E75E08" w:rsidRPr="008C48BD" w:rsidRDefault="008C48BD" w:rsidP="00074C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 characteristics of the portfolio, driven by the Cap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Rate, should be reflected in a written Investment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Policy Statement applicable to the portfolio.  </w:t>
      </w:r>
    </w:p>
    <w:p w:rsidR="00074C3A" w:rsidRDefault="00074C3A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Competing Interests in the</w:t>
      </w:r>
      <w:r w:rsidRPr="008C48BD">
        <w:rPr>
          <w:rFonts w:ascii="Times New Roman" w:hAnsi="Times New Roman" w:cs="Times New Roman"/>
          <w:b/>
          <w:bCs/>
          <w:sz w:val="24"/>
          <w:szCs w:val="24"/>
        </w:rPr>
        <w:br/>
        <w:t>Selection of a Cap Rate</w:t>
      </w:r>
    </w:p>
    <w:p w:rsidR="00E75E08" w:rsidRPr="008C48BD" w:rsidRDefault="008C48BD" w:rsidP="00074C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Agencies generally attempt to balance two primary competing factors in evaluating any proposed Cap Rate:</w:t>
      </w:r>
    </w:p>
    <w:p w:rsidR="00E75E08" w:rsidRPr="008C48BD" w:rsidRDefault="008C48BD" w:rsidP="00074C3A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On one hand, applying a lower Cap Rate increases the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statistical likelihood of successful funding in perpetuity;</w:t>
      </w:r>
    </w:p>
    <w:p w:rsidR="00E75E08" w:rsidRPr="008C48BD" w:rsidRDefault="008C48BD" w:rsidP="00074C3A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On the other hand, allowing the use of a higher Cap Rate decreases the amount that must be paid up front</w:t>
      </w:r>
      <w:proofErr w:type="gramStart"/>
      <w:r w:rsidRPr="008C48B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and thus is often advocated by </w:t>
      </w:r>
      <w:proofErr w:type="spellStart"/>
      <w:r w:rsidRPr="008C48BD">
        <w:rPr>
          <w:rFonts w:ascii="Times New Roman" w:hAnsi="Times New Roman" w:cs="Times New Roman"/>
          <w:bCs/>
          <w:sz w:val="24"/>
          <w:szCs w:val="24"/>
        </w:rPr>
        <w:t>payors</w:t>
      </w:r>
      <w:proofErr w:type="spellEnd"/>
      <w:r w:rsidRPr="008C48B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C48BD">
        <w:rPr>
          <w:rFonts w:ascii="Times New Roman" w:hAnsi="Times New Roman" w:cs="Times New Roman"/>
          <w:bCs/>
          <w:sz w:val="24"/>
          <w:szCs w:val="24"/>
        </w:rPr>
        <w:t>permittees</w:t>
      </w:r>
      <w:proofErr w:type="spellEnd"/>
      <w:r w:rsidRPr="008C48BD">
        <w:rPr>
          <w:rFonts w:ascii="Times New Roman" w:hAnsi="Times New Roman" w:cs="Times New Roman"/>
          <w:bCs/>
          <w:sz w:val="24"/>
          <w:szCs w:val="24"/>
        </w:rPr>
        <w:t>).</w:t>
      </w:r>
    </w:p>
    <w:p w:rsidR="00E75E08" w:rsidRPr="008C48BD" w:rsidRDefault="008C48BD" w:rsidP="00074C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These competing factors reflect the risk-reward calculus inherent in determining the appropriate initial amount to be funded into a long-term stewardship account.</w:t>
      </w:r>
    </w:p>
    <w:p w:rsidR="00074C3A" w:rsidRDefault="00074C3A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Cap Rate, Investing, and Spending</w:t>
      </w:r>
    </w:p>
    <w:p w:rsidR="00E75E08" w:rsidRPr="008C48BD" w:rsidRDefault="008C48BD" w:rsidP="00074C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Most Cap Rates will require diversified portfolios.</w:t>
      </w:r>
    </w:p>
    <w:p w:rsidR="00E75E08" w:rsidRPr="008C48BD" w:rsidRDefault="008C48BD" w:rsidP="00074C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Diversified portfolios are not “principal and interest” portfolios!</w:t>
      </w:r>
    </w:p>
    <w:p w:rsidR="00E75E08" w:rsidRPr="008C48BD" w:rsidRDefault="008C48BD" w:rsidP="00074C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References to “principal and income” or “non-wasting” or “historic dollar value” funds are obsolete. </w:t>
      </w:r>
    </w:p>
    <w:p w:rsidR="00E75E08" w:rsidRPr="008C48BD" w:rsidRDefault="008C48BD" w:rsidP="00074C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Not to worry - this is consistent with modern “prudent investor” and endowment law, such as the Uniform Prudent Management of Institutional Funds Act (“UPMIFA”).</w:t>
      </w:r>
    </w:p>
    <w:p w:rsidR="00E75E08" w:rsidRPr="008C48BD" w:rsidRDefault="008C48BD" w:rsidP="00074C3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UPMIFA has been enacted in 49 of the 50 states (not PA)</w:t>
      </w:r>
    </w:p>
    <w:p w:rsidR="00E75E08" w:rsidRPr="008C48BD" w:rsidRDefault="008C48BD" w:rsidP="00074C3A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UPMIFA incorporates a general standard of prudent spending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measured against the purpose of the fund, and invites consideration of a wide array of other factors </w:t>
      </w:r>
    </w:p>
    <w:p w:rsidR="00E75E08" w:rsidRPr="008C48BD" w:rsidRDefault="008C48BD" w:rsidP="00074C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Most long-term stewardship fund modeling assumes the annual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cash need </w:t>
      </w:r>
      <w:r w:rsidRPr="008C48BD">
        <w:rPr>
          <w:rFonts w:ascii="Times New Roman" w:hAnsi="Times New Roman" w:cs="Times New Roman"/>
          <w:bCs/>
          <w:i/>
          <w:iCs/>
          <w:sz w:val="24"/>
          <w:szCs w:val="24"/>
        </w:rPr>
        <w:t>will</w:t>
      </w:r>
      <w:r w:rsidRPr="008C48BD">
        <w:rPr>
          <w:rFonts w:ascii="Times New Roman" w:hAnsi="Times New Roman" w:cs="Times New Roman"/>
          <w:bCs/>
          <w:sz w:val="24"/>
          <w:szCs w:val="24"/>
        </w:rPr>
        <w:t xml:space="preserve"> be disbursed, regardless of fund balance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or performance over any arbitrary period of time.</w:t>
      </w:r>
    </w:p>
    <w:p w:rsidR="00074C3A" w:rsidRDefault="00074C3A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Spending Plans and Ongoing Operational Rules</w:t>
      </w:r>
    </w:p>
    <w:p w:rsidR="00E75E08" w:rsidRPr="008C48BD" w:rsidRDefault="008C48BD" w:rsidP="00074C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Common approach to spending allowed by agencies: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Presumption that the annual amount needed for work specified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by the property analysis will be disbursed in advance each year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to fund the necessary work.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Requiring (or approving) an initial fund amount and an investment strategy that are designed to create a high statistical likelihood that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the necessary annual spending will be sustainable over a very long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</w:r>
      <w:r w:rsidRPr="008C48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period of time, potentially in perpetuity, without the availability of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any additional “outside” funding.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In this sense the long-term management funds are more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analogous to defined-benefit plans (e.g., pensions) than true endowments.</w:t>
      </w:r>
    </w:p>
    <w:p w:rsidR="00074C3A" w:rsidRPr="008C48BD" w:rsidRDefault="008C48BD" w:rsidP="00074C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Agencies may also require various “buffering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mechanisms” or fail-safes in conjunction with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the above approach.</w:t>
      </w:r>
    </w:p>
    <w:p w:rsidR="00E75E08" w:rsidRPr="008C48BD" w:rsidRDefault="008C48BD" w:rsidP="00074C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Common buffering or fail-safe mechanisms: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Require several years’ worth of initial annual funding (“I and C”</w:t>
      </w:r>
      <w:proofErr w:type="gramStart"/>
      <w:r w:rsidRPr="008C48BD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8C48BD">
        <w:rPr>
          <w:rFonts w:ascii="Times New Roman" w:hAnsi="Times New Roman" w:cs="Times New Roman"/>
          <w:bCs/>
          <w:sz w:val="24"/>
          <w:szCs w:val="24"/>
        </w:rPr>
        <w:br/>
        <w:t>in order to allow the long-term fund to mature.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Require certain minimum contingency line items in the property analysis.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Do not allow incremental disbursement of funds for non-annual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activities modeled in the property analysis (i.e., allow only the full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draw in the year needed).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Retain ability to suspend or reduce disbursements in certain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extreme circumstances, e.g., prolonged contraction in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financial and investments markets.</w:t>
      </w:r>
    </w:p>
    <w:p w:rsidR="00E75E08" w:rsidRPr="008C48BD" w:rsidRDefault="008C48BD" w:rsidP="00074C3A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Develop early consultation process with affected land managers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to determine draws against the fund in “negative value”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years or unforeseen/extreme investment climates.</w:t>
      </w:r>
    </w:p>
    <w:p w:rsidR="008C48BD" w:rsidRDefault="008C48BD" w:rsidP="008C48B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8C48B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proofErr w:type="gramStart"/>
      <w:r w:rsidRPr="008C48B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C48BD">
        <w:rPr>
          <w:rFonts w:ascii="Times New Roman" w:hAnsi="Times New Roman" w:cs="Times New Roman"/>
          <w:b/>
          <w:bCs/>
          <w:sz w:val="24"/>
          <w:szCs w:val="24"/>
        </w:rPr>
        <w:br/>
        <w:t>California Renewable Energy Action Team</w:t>
      </w:r>
    </w:p>
    <w:p w:rsidR="00E75E08" w:rsidRPr="008C48BD" w:rsidRDefault="008C48BD" w:rsidP="00074C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REAT is comprised of US FWS, BLM, CDFW, and CEC</w:t>
      </w:r>
    </w:p>
    <w:p w:rsidR="00E75E08" w:rsidRPr="008C48BD" w:rsidRDefault="008C48BD" w:rsidP="00074C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Coordinated permitting approach to renewable energy development in the Mojave and Colorado deserts in CA</w:t>
      </w:r>
    </w:p>
    <w:p w:rsidR="00E75E08" w:rsidRPr="008C48BD" w:rsidRDefault="008C48BD" w:rsidP="00074C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REAT developed an MOA with NFWF through which NFWF is one potential option for administration of mitigation funds</w:t>
      </w:r>
    </w:p>
    <w:p w:rsidR="00074C3A" w:rsidRPr="008C48BD" w:rsidRDefault="008C48BD" w:rsidP="00074C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Among several types of mitigation funds contemplated by the MOA are long-term land stewardship or “endowment” funds</w:t>
      </w:r>
    </w:p>
    <w:p w:rsidR="00E75E08" w:rsidRPr="008C48BD" w:rsidRDefault="008C48BD" w:rsidP="00074C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Key questions addressed in REAT-NFWF process to develop a system for mitigation endowment funds:</w:t>
      </w:r>
    </w:p>
    <w:p w:rsidR="00E75E08" w:rsidRPr="008C48BD" w:rsidRDefault="008C48BD" w:rsidP="00074C3A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Who is responsible for determining what long-term management activities are required on the property over time?</w:t>
      </w:r>
    </w:p>
    <w:p w:rsidR="00E75E08" w:rsidRPr="008C48BD" w:rsidRDefault="008C48BD" w:rsidP="00074C3A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How will line-item costs be developed for those activities?</w:t>
      </w:r>
    </w:p>
    <w:p w:rsidR="00E75E08" w:rsidRPr="008C48BD" w:rsidRDefault="008C48BD" w:rsidP="00074C3A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What is the agencies’ risk tolerance for investment of funds,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and therefore the “expected return” that drives a Cap Rate?</w:t>
      </w:r>
    </w:p>
    <w:p w:rsidR="00E75E08" w:rsidRPr="008C48BD" w:rsidRDefault="008C48BD" w:rsidP="00074C3A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What are the general rules around annual disbursement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of funds to long-term property managers?</w:t>
      </w:r>
    </w:p>
    <w:p w:rsidR="00E75E08" w:rsidRPr="008C48BD" w:rsidRDefault="008C48BD" w:rsidP="00074C3A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What are the agencies’ rights and responsibilities with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respect to ongoing monitoring of the stewardship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 xml:space="preserve">work, the “endowment,” the long-term property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manager, and NFWF?</w:t>
      </w:r>
    </w:p>
    <w:p w:rsidR="008C48BD" w:rsidRPr="008C48BD" w:rsidRDefault="008C48BD" w:rsidP="008C48B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C4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Recent Developments</w:t>
      </w:r>
      <w:proofErr w:type="gramStart"/>
      <w:r w:rsidRPr="008C48BD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C48BD">
        <w:rPr>
          <w:rFonts w:ascii="Times New Roman" w:hAnsi="Times New Roman" w:cs="Times New Roman"/>
          <w:b/>
          <w:bCs/>
          <w:sz w:val="24"/>
          <w:szCs w:val="24"/>
        </w:rPr>
        <w:br/>
        <w:t>California Senate Bills 436 and 1094</w:t>
      </w:r>
    </w:p>
    <w:p w:rsidR="00E75E08" w:rsidRPr="008C48BD" w:rsidRDefault="008C48BD" w:rsidP="00074C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SB 436, which addressed mitigation endowment management in California, took effect in 2012</w:t>
      </w:r>
    </w:p>
    <w:p w:rsidR="00E75E08" w:rsidRPr="008C48BD" w:rsidRDefault="008C48BD" w:rsidP="00074C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 xml:space="preserve">SB 436 was subsequently amended by SB 1094, </w:t>
      </w:r>
      <w:r w:rsidRPr="008C48BD">
        <w:rPr>
          <w:rFonts w:ascii="Times New Roman" w:hAnsi="Times New Roman" w:cs="Times New Roman"/>
          <w:bCs/>
          <w:sz w:val="24"/>
          <w:szCs w:val="24"/>
        </w:rPr>
        <w:br/>
        <w:t>which took effect in 2013</w:t>
      </w:r>
    </w:p>
    <w:p w:rsidR="00E75E08" w:rsidRPr="008C48BD" w:rsidRDefault="008C48BD" w:rsidP="00074C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Both bills specified rules for:</w:t>
      </w:r>
    </w:p>
    <w:p w:rsidR="00E75E08" w:rsidRPr="008C48BD" w:rsidRDefault="008C48BD" w:rsidP="00074C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What entities are eligible to hold mitigation endowments</w:t>
      </w:r>
    </w:p>
    <w:p w:rsidR="00E75E08" w:rsidRPr="008C48BD" w:rsidRDefault="008C48BD" w:rsidP="00074C3A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What standards and obligations apply to holders</w:t>
      </w:r>
    </w:p>
    <w:p w:rsidR="00E75E08" w:rsidRPr="008C48BD" w:rsidRDefault="008C48BD" w:rsidP="00074C3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Key point for federal permitting agencies: be aware of the impact of state laws on funding for long-term mitigation land management!</w:t>
      </w:r>
    </w:p>
    <w:p w:rsidR="00074C3A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48BD" w:rsidRDefault="008C48BD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48BD" w:rsidRPr="008C48BD" w:rsidRDefault="008C48BD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4C3A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48BD">
        <w:rPr>
          <w:rFonts w:ascii="Times New Roman" w:hAnsi="Times New Roman" w:cs="Times New Roman"/>
          <w:b/>
          <w:sz w:val="24"/>
          <w:szCs w:val="24"/>
        </w:rPr>
        <w:t>NFWF Contacts:</w:t>
      </w:r>
    </w:p>
    <w:p w:rsidR="008C48BD" w:rsidRPr="008C48BD" w:rsidRDefault="008C48BD" w:rsidP="00074C3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8C48BD">
        <w:rPr>
          <w:rFonts w:ascii="Times New Roman" w:hAnsi="Times New Roman" w:cs="Times New Roman"/>
          <w:sz w:val="24"/>
          <w:szCs w:val="24"/>
        </w:rPr>
        <w:t>DiCintio</w:t>
      </w:r>
      <w:proofErr w:type="spellEnd"/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Vice President, Impact-Directed Environmental Accounts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National Fish and Wildlife Foundation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(202) 595-2466</w:t>
      </w:r>
    </w:p>
    <w:p w:rsidR="00074C3A" w:rsidRPr="008C48BD" w:rsidRDefault="00303142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74C3A" w:rsidRPr="008C48BD">
          <w:rPr>
            <w:rStyle w:val="Hyperlink"/>
            <w:rFonts w:ascii="Times New Roman" w:hAnsi="Times New Roman" w:cs="Times New Roman"/>
            <w:sz w:val="24"/>
            <w:szCs w:val="24"/>
          </w:rPr>
          <w:t>timothy.dicintio@nfwf.org</w:t>
        </w:r>
      </w:hyperlink>
    </w:p>
    <w:p w:rsidR="00303142" w:rsidRDefault="00303142" w:rsidP="00074C3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bCs/>
          <w:sz w:val="24"/>
          <w:szCs w:val="24"/>
        </w:rPr>
        <w:t>Additional NFWF Contacts</w:t>
      </w:r>
    </w:p>
    <w:p w:rsidR="00303142" w:rsidRDefault="00303142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8B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8C48BD">
        <w:rPr>
          <w:rFonts w:ascii="Times New Roman" w:hAnsi="Times New Roman" w:cs="Times New Roman"/>
          <w:sz w:val="24"/>
          <w:szCs w:val="24"/>
        </w:rPr>
        <w:t>Menzi</w:t>
      </w:r>
      <w:proofErr w:type="spellEnd"/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Executive Vice President, Finance and Operations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National Fish and Wildlife Foundation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(202) 595-2410</w:t>
      </w:r>
    </w:p>
    <w:p w:rsidR="00074C3A" w:rsidRPr="008C48BD" w:rsidRDefault="00303142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74C3A" w:rsidRPr="008C48BD">
          <w:rPr>
            <w:rStyle w:val="Hyperlink"/>
            <w:rFonts w:ascii="Times New Roman" w:hAnsi="Times New Roman" w:cs="Times New Roman"/>
            <w:sz w:val="24"/>
            <w:szCs w:val="24"/>
          </w:rPr>
          <w:t>robert.menzi@nfwf.org</w:t>
        </w:r>
      </w:hyperlink>
    </w:p>
    <w:p w:rsidR="00303142" w:rsidRDefault="00303142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Stephanie Tom Coupe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Director, Impact-Directed Environmental Accounts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National Fish and Wildlife Foundation</w:t>
      </w: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48BD">
        <w:rPr>
          <w:rFonts w:ascii="Times New Roman" w:hAnsi="Times New Roman" w:cs="Times New Roman"/>
          <w:sz w:val="24"/>
          <w:szCs w:val="24"/>
        </w:rPr>
        <w:t>(415) 243-3103</w:t>
      </w:r>
    </w:p>
    <w:p w:rsidR="00074C3A" w:rsidRPr="008C48BD" w:rsidRDefault="00303142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4C3A" w:rsidRPr="008C48BD">
          <w:rPr>
            <w:rStyle w:val="Hyperlink"/>
            <w:rFonts w:ascii="Times New Roman" w:hAnsi="Times New Roman" w:cs="Times New Roman"/>
            <w:sz w:val="24"/>
            <w:szCs w:val="24"/>
          </w:rPr>
          <w:t>stephanie.tomcoupe@nfwf.org</w:t>
        </w:r>
      </w:hyperlink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3A" w:rsidRPr="008C48BD" w:rsidRDefault="00074C3A" w:rsidP="0007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4C3A" w:rsidRPr="008C48B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BD" w:rsidRDefault="008C48BD" w:rsidP="008C48BD">
      <w:pPr>
        <w:spacing w:after="0" w:line="240" w:lineRule="auto"/>
      </w:pPr>
      <w:r>
        <w:separator/>
      </w:r>
    </w:p>
  </w:endnote>
  <w:endnote w:type="continuationSeparator" w:id="0">
    <w:p w:rsidR="008C48BD" w:rsidRDefault="008C48BD" w:rsidP="008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521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8BD" w:rsidRDefault="008C48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8BD" w:rsidRDefault="008C4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BD" w:rsidRDefault="008C48BD" w:rsidP="008C48BD">
      <w:pPr>
        <w:spacing w:after="0" w:line="240" w:lineRule="auto"/>
      </w:pPr>
      <w:r>
        <w:separator/>
      </w:r>
    </w:p>
  </w:footnote>
  <w:footnote w:type="continuationSeparator" w:id="0">
    <w:p w:rsidR="008C48BD" w:rsidRDefault="008C48BD" w:rsidP="008C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B48"/>
    <w:multiLevelType w:val="hybridMultilevel"/>
    <w:tmpl w:val="D45AF67C"/>
    <w:lvl w:ilvl="0" w:tplc="7B8C2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2D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4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AE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E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E5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EB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5D71"/>
    <w:multiLevelType w:val="hybridMultilevel"/>
    <w:tmpl w:val="26ECAE2A"/>
    <w:lvl w:ilvl="0" w:tplc="2286E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9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23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28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40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61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8D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0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06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522C1"/>
    <w:multiLevelType w:val="hybridMultilevel"/>
    <w:tmpl w:val="07A6E93A"/>
    <w:lvl w:ilvl="0" w:tplc="1B4CB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65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A3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41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2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ED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A8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A6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6F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31326"/>
    <w:multiLevelType w:val="hybridMultilevel"/>
    <w:tmpl w:val="B4268E70"/>
    <w:lvl w:ilvl="0" w:tplc="CCA2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588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46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67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AB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9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C6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8C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67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4CF8"/>
    <w:multiLevelType w:val="hybridMultilevel"/>
    <w:tmpl w:val="0F8E117A"/>
    <w:lvl w:ilvl="0" w:tplc="CA9A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C3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8A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AD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A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2F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02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B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3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A0545"/>
    <w:multiLevelType w:val="hybridMultilevel"/>
    <w:tmpl w:val="CE5A08DC"/>
    <w:lvl w:ilvl="0" w:tplc="54DE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A7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8B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0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C5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47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9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AE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A7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70A06"/>
    <w:multiLevelType w:val="hybridMultilevel"/>
    <w:tmpl w:val="66066CDA"/>
    <w:lvl w:ilvl="0" w:tplc="7608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69E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4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0F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87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42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EF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67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C9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07178"/>
    <w:multiLevelType w:val="hybridMultilevel"/>
    <w:tmpl w:val="9216CAC8"/>
    <w:lvl w:ilvl="0" w:tplc="FC08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87B2">
      <w:start w:val="128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01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6D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0D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84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66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2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B007F"/>
    <w:multiLevelType w:val="hybridMultilevel"/>
    <w:tmpl w:val="6C06A3CA"/>
    <w:lvl w:ilvl="0" w:tplc="E98C3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A8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AF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A7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45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2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0D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A1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CF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E6EBA"/>
    <w:multiLevelType w:val="hybridMultilevel"/>
    <w:tmpl w:val="63F62BC8"/>
    <w:lvl w:ilvl="0" w:tplc="0812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22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5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E6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89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4F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8D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44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E5F0E"/>
    <w:multiLevelType w:val="hybridMultilevel"/>
    <w:tmpl w:val="C14C18F4"/>
    <w:lvl w:ilvl="0" w:tplc="91F62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296BA">
      <w:start w:val="11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E0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64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C9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CE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84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A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AA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27A91"/>
    <w:multiLevelType w:val="hybridMultilevel"/>
    <w:tmpl w:val="C8085D88"/>
    <w:lvl w:ilvl="0" w:tplc="AD94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80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84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03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E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4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4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ED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AEB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F562B"/>
    <w:multiLevelType w:val="hybridMultilevel"/>
    <w:tmpl w:val="D7DE00B4"/>
    <w:lvl w:ilvl="0" w:tplc="4ADC4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82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26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A9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65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7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C8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7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C5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559A4"/>
    <w:multiLevelType w:val="hybridMultilevel"/>
    <w:tmpl w:val="48E4D9F2"/>
    <w:lvl w:ilvl="0" w:tplc="C81E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8679A">
      <w:start w:val="11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C6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AA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E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A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0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E1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8D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B509D"/>
    <w:multiLevelType w:val="hybridMultilevel"/>
    <w:tmpl w:val="A3F6B388"/>
    <w:lvl w:ilvl="0" w:tplc="FE361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ED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49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AB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41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F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4B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E4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A3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89"/>
    <w:rsid w:val="00074C3A"/>
    <w:rsid w:val="00193489"/>
    <w:rsid w:val="00303142"/>
    <w:rsid w:val="003E77D5"/>
    <w:rsid w:val="008C48BD"/>
    <w:rsid w:val="00E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193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934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193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193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74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C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BD"/>
  </w:style>
  <w:style w:type="paragraph" w:styleId="Footer">
    <w:name w:val="footer"/>
    <w:basedOn w:val="Normal"/>
    <w:link w:val="FooterChar"/>
    <w:uiPriority w:val="99"/>
    <w:unhideWhenUsed/>
    <w:rsid w:val="008C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193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934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193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193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74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C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BD"/>
  </w:style>
  <w:style w:type="paragraph" w:styleId="Footer">
    <w:name w:val="footer"/>
    <w:basedOn w:val="Normal"/>
    <w:link w:val="FooterChar"/>
    <w:uiPriority w:val="99"/>
    <w:unhideWhenUsed/>
    <w:rsid w:val="008C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76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2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29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28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024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941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58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47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04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20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5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5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74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602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6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546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071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25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89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17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541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60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722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57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9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5400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135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64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50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920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432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7697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698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679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76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620">
          <w:marLeft w:val="135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1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469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865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22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4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85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12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12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25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325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52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8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8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71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699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000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439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80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2482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02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931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518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60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800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85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15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643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878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591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867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72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90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16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112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359">
          <w:marLeft w:val="135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261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351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493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081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74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095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00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6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5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thy.dicintio@nfwf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tephanie.tomcoupe@nfw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menzi@nfwf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93E66FF444C419B4F57607C502A87" ma:contentTypeVersion="12" ma:contentTypeDescription="Create a new document." ma:contentTypeScope="" ma:versionID="1a5d567bb87a5c60e2fd63f6a8e5ebb6">
  <xsd:schema xmlns:xsd="http://www.w3.org/2001/XMLSchema" xmlns:xs="http://www.w3.org/2001/XMLSchema" xmlns:p="http://schemas.microsoft.com/office/2006/metadata/properties" xmlns:ns2="3ae01489-78ce-416b-b6ff-aefbfdfeb2fb" xmlns:ns3="39a5a388-7abd-44f3-9745-79fde7047ac9" targetNamespace="http://schemas.microsoft.com/office/2006/metadata/properties" ma:root="true" ma:fieldsID="eb5a699505d24ebc3c7dd1d726bda217" ns2:_="" ns3:_="">
    <xsd:import namespace="3ae01489-78ce-416b-b6ff-aefbfdfeb2fb"/>
    <xsd:import namespace="39a5a388-7abd-44f3-9745-79fde7047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1489-78ce-416b-b6ff-aefbfdfeb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a388-7abd-44f3-9745-79fde7047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0EC76-1937-4D4D-A9AD-7D7E1EF12B92}"/>
</file>

<file path=customXml/itemProps2.xml><?xml version="1.0" encoding="utf-8"?>
<ds:datastoreItem xmlns:ds="http://schemas.openxmlformats.org/officeDocument/2006/customXml" ds:itemID="{5D1723F8-C213-4B45-983B-C0C5C235C0CD}"/>
</file>

<file path=customXml/itemProps3.xml><?xml version="1.0" encoding="utf-8"?>
<ds:datastoreItem xmlns:ds="http://schemas.openxmlformats.org/officeDocument/2006/customXml" ds:itemID="{9AA5574C-025C-4583-A896-B43DAD0F3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Mead, Deborah</dc:creator>
  <cp:lastModifiedBy>Carey, Margarita</cp:lastModifiedBy>
  <cp:revision>2</cp:revision>
  <dcterms:created xsi:type="dcterms:W3CDTF">2014-04-03T18:31:00Z</dcterms:created>
  <dcterms:modified xsi:type="dcterms:W3CDTF">2014-04-04T12:31:00Z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0x010100A2793E66FF444C419B4F57607C502A87</vt:lpwstr>
  </property>
  <property fmtid="{D5CDD505-2E9C-101B-9397-08002B2CF9AE}" pid="3" name="Order">
    <vt:r8>24798000</vt:r8>
  </property>
</Properties>
</file>